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75C" w:rsidRDefault="00EF31D9" w:rsidP="0032075C">
      <w:pPr>
        <w:spacing w:after="0" w:line="240" w:lineRule="auto"/>
        <w:ind w:firstLine="709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1</w:t>
      </w:r>
    </w:p>
    <w:p w:rsidR="0032075C" w:rsidRDefault="0032075C" w:rsidP="0032075C">
      <w:pPr>
        <w:spacing w:after="0" w:line="240" w:lineRule="auto"/>
        <w:ind w:firstLine="709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государственной программе </w:t>
      </w:r>
    </w:p>
    <w:p w:rsidR="0032075C" w:rsidRDefault="0032075C" w:rsidP="0032075C">
      <w:pPr>
        <w:spacing w:after="0" w:line="240" w:lineRule="auto"/>
        <w:ind w:firstLine="709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промышленности, </w:t>
      </w:r>
    </w:p>
    <w:p w:rsidR="0032075C" w:rsidRDefault="0032075C" w:rsidP="0032075C">
      <w:pPr>
        <w:spacing w:after="200" w:line="315" w:lineRule="atLeast"/>
        <w:ind w:firstLine="709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транспорта и связи Брянской области» </w:t>
      </w:r>
    </w:p>
    <w:p w:rsidR="008E30EC" w:rsidRPr="008E30EC" w:rsidRDefault="008E30EC" w:rsidP="0032075C">
      <w:pPr>
        <w:spacing w:after="200" w:line="315" w:lineRule="atLeast"/>
        <w:ind w:firstLine="709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30EC">
        <w:rPr>
          <w:rFonts w:ascii="Times New Roman" w:eastAsia="Calibri" w:hAnsi="Times New Roman" w:cs="Times New Roman"/>
          <w:sz w:val="28"/>
          <w:szCs w:val="28"/>
          <w:lang w:eastAsia="ru-RU"/>
        </w:rPr>
        <w:t>Методи</w:t>
      </w:r>
      <w:r w:rsidR="00EF31D9">
        <w:rPr>
          <w:rFonts w:ascii="Times New Roman" w:eastAsia="Calibri" w:hAnsi="Times New Roman" w:cs="Times New Roman"/>
          <w:sz w:val="28"/>
          <w:szCs w:val="28"/>
          <w:lang w:eastAsia="ru-RU"/>
        </w:rPr>
        <w:t>ка</w:t>
      </w:r>
      <w:r w:rsidR="00A440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расчета значений показателей (индикаторов)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z w:val="28"/>
          <w:szCs w:val="28"/>
          <w:lang w:eastAsia="ru-RU"/>
        </w:rPr>
        <w:t>«Значение индикатора № 1 определяются на основе отчетности промышленных предприятий по выполнению среднесрочного плана мероприятий по развитию промышленности, утвержденного постановлением Правительства Брянской области от 1 августа 2016 года № 413-п.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z w:val="28"/>
          <w:szCs w:val="28"/>
          <w:lang w:eastAsia="ru-RU"/>
        </w:rPr>
        <w:t>Значение индикатора № 2 определяются на основании отчетности авиапредприятий, осуществляющих пассажирские авиационные перевозки.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3 определяются на основе данных государственного статистического наблюдения (раздел II "Производство товаров и услуг" доклада "Социально-экономическое положение Брянской области") территориального органа Федеральной службы государственной статистики по Брянской области.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4 «Процент исполнения запланированных бюджетных ассигнований» определяется по формуле:</w:t>
      </w:r>
    </w:p>
    <w:p w:rsidR="00182F40" w:rsidRPr="00182F40" w:rsidRDefault="00DA0324" w:rsidP="00182F40">
      <w:pPr>
        <w:spacing w:after="200" w:line="315" w:lineRule="atLeast"/>
        <w:ind w:firstLine="709"/>
        <w:jc w:val="center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Cambria Math"/>
                <w:i/>
                <w:spacing w:val="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Calibri" w:hAnsi="Cambria Math" w:cs="Cambria Math"/>
                <w:spacing w:val="2"/>
                <w:sz w:val="28"/>
                <w:szCs w:val="28"/>
                <w:lang w:eastAsia="ru-RU"/>
              </w:rPr>
              <m:t>БА</m:t>
            </m:r>
          </m:e>
          <m:sub>
            <m:r>
              <w:rPr>
                <w:rFonts w:ascii="Cambria Math" w:eastAsia="Calibri" w:hAnsi="Cambria Math" w:cs="Cambria Math"/>
                <w:spacing w:val="2"/>
                <w:sz w:val="28"/>
                <w:szCs w:val="28"/>
                <w:lang w:eastAsia="ru-RU"/>
              </w:rPr>
              <m:t>исп.</m:t>
            </m:r>
          </m:sub>
        </m:sSub>
        <m:r>
          <m:rPr>
            <m:sty m:val="p"/>
          </m:rPr>
          <w:rPr>
            <w:rFonts w:ascii="Cambria Math" w:eastAsia="Calibri" w:hAnsi="Cambria Math" w:cs="Cambria Math"/>
            <w:spacing w:val="2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Calibri" w:hAnsi="Cambria Math" w:cs="Times New Roman"/>
                <w:spacing w:val="2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pacing w:val="2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pacing w:val="2"/>
                    <w:sz w:val="28"/>
                    <w:szCs w:val="28"/>
                    <w:lang w:eastAsia="ru-RU"/>
                  </w:rPr>
                  <m:t>БА</m:t>
                </m:r>
              </m:e>
              <m:sub>
                <m:r>
                  <w:rPr>
                    <w:rFonts w:ascii="Cambria Math" w:eastAsia="Calibri" w:hAnsi="Cambria Math" w:cs="Times New Roman"/>
                    <w:spacing w:val="2"/>
                    <w:sz w:val="28"/>
                    <w:szCs w:val="28"/>
                    <w:lang w:eastAsia="ru-RU"/>
                  </w:rPr>
                  <m:t>план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pacing w:val="2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pacing w:val="2"/>
                    <w:sz w:val="28"/>
                    <w:szCs w:val="28"/>
                    <w:lang w:eastAsia="ru-RU"/>
                  </w:rPr>
                  <m:t>БА</m:t>
                </m:r>
              </m:e>
              <m:sub>
                <m:r>
                  <w:rPr>
                    <w:rFonts w:ascii="Cambria Math" w:eastAsia="Calibri" w:hAnsi="Cambria Math" w:cs="Times New Roman"/>
                    <w:spacing w:val="2"/>
                    <w:sz w:val="28"/>
                    <w:szCs w:val="28"/>
                    <w:lang w:eastAsia="ru-RU"/>
                  </w:rPr>
                  <m:t>факт</m:t>
                </m:r>
              </m:sub>
            </m:sSub>
          </m:den>
        </m:f>
      </m:oMath>
      <w:r w:rsidR="00182F40"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  х 100 %, где</w:t>
      </w:r>
    </w:p>
    <w:p w:rsidR="00182F40" w:rsidRPr="00182F40" w:rsidRDefault="00DA0324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val="en-US" w:eastAsia="ru-RU"/>
        </w:rPr>
      </w:pPr>
      <m:oMath>
        <m:sSub>
          <m:sSubPr>
            <m:ctrlPr>
              <w:rPr>
                <w:rFonts w:ascii="Cambria Math" w:eastAsia="Calibri" w:hAnsi="Cambria Math" w:cs="Cambria Math"/>
                <w:i/>
                <w:spacing w:val="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Calibri" w:hAnsi="Cambria Math" w:cs="Cambria Math"/>
                <w:spacing w:val="2"/>
                <w:sz w:val="28"/>
                <w:szCs w:val="28"/>
                <w:lang w:eastAsia="ru-RU"/>
              </w:rPr>
              <m:t>БА</m:t>
            </m:r>
          </m:e>
          <m:sub>
            <m:r>
              <w:rPr>
                <w:rFonts w:ascii="Cambria Math" w:eastAsia="Calibri" w:hAnsi="Cambria Math" w:cs="Cambria Math"/>
                <w:spacing w:val="2"/>
                <w:sz w:val="28"/>
                <w:szCs w:val="28"/>
                <w:lang w:eastAsia="ru-RU"/>
              </w:rPr>
              <m:t>исп.</m:t>
            </m:r>
          </m:sub>
        </m:sSub>
      </m:oMath>
      <w:r w:rsidR="00182F40"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 – процент исполнения запланированных бюджетных ассигнований, </w:t>
      </w:r>
      <w:r w:rsidR="00182F40" w:rsidRPr="00182F40">
        <w:rPr>
          <w:rFonts w:ascii="Times New Roman" w:eastAsia="Calibri" w:hAnsi="Times New Roman" w:cs="Times New Roman"/>
          <w:spacing w:val="2"/>
          <w:sz w:val="28"/>
          <w:szCs w:val="28"/>
          <w:lang w:val="en-US" w:eastAsia="ru-RU"/>
        </w:rPr>
        <w:t>%</w:t>
      </w:r>
    </w:p>
    <w:p w:rsidR="00182F40" w:rsidRPr="00182F40" w:rsidRDefault="00DA0324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pacing w:val="2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pacing w:val="2"/>
                <w:sz w:val="28"/>
                <w:szCs w:val="28"/>
                <w:lang w:val="en-US" w:eastAsia="ru-RU"/>
              </w:rPr>
              <m:t>БА</m:t>
            </m:r>
          </m:e>
          <m:sub>
            <m:r>
              <w:rPr>
                <w:rFonts w:ascii="Cambria Math" w:eastAsia="Calibri" w:hAnsi="Cambria Math" w:cs="Times New Roman"/>
                <w:spacing w:val="2"/>
                <w:sz w:val="28"/>
                <w:szCs w:val="28"/>
                <w:lang w:val="en-US" w:eastAsia="ru-RU"/>
              </w:rPr>
              <m:t>план</m:t>
            </m:r>
          </m:sub>
        </m:sSub>
      </m:oMath>
      <w:r w:rsidR="00182F40"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 – запланировано на отчетный период бюджетных ассигнований, руб.</w:t>
      </w:r>
    </w:p>
    <w:p w:rsidR="00182F40" w:rsidRPr="00182F40" w:rsidRDefault="00DA0324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pacing w:val="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pacing w:val="2"/>
                <w:sz w:val="28"/>
                <w:szCs w:val="28"/>
                <w:lang w:eastAsia="ru-RU"/>
              </w:rPr>
              <m:t>БА</m:t>
            </m:r>
          </m:e>
          <m:sub>
            <m:r>
              <w:rPr>
                <w:rFonts w:ascii="Cambria Math" w:eastAsia="Calibri" w:hAnsi="Cambria Math" w:cs="Times New Roman"/>
                <w:spacing w:val="2"/>
                <w:sz w:val="28"/>
                <w:szCs w:val="28"/>
                <w:lang w:eastAsia="ru-RU"/>
              </w:rPr>
              <m:t>факт</m:t>
            </m:r>
          </m:sub>
        </m:sSub>
      </m:oMath>
      <w:r w:rsidR="00182F40"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 – исполнено за отчетный период бюджетных ассигнований, руб.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Ожидаемыми результатами реализации государственной программы являются снижение количества нарушений норм и правил эксплуатации поднадзорных машин и оборудования, приводящих к травмированию обслуживающего персонала и дорожно-транспортным происшествиям, предотвращение их эксплуатации с превышением норм дымности отработавших газов двигателей.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5 «Доля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периоде» определяется следующим образом:</w:t>
      </w:r>
    </w:p>
    <w:p w:rsidR="00182F40" w:rsidRPr="00182F40" w:rsidRDefault="00182F40" w:rsidP="00182F40">
      <w:pPr>
        <w:spacing w:after="200" w:line="315" w:lineRule="atLeast"/>
        <w:jc w:val="center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noProof/>
          <w:spacing w:val="2"/>
          <w:sz w:val="28"/>
          <w:szCs w:val="28"/>
          <w:lang w:eastAsia="ru-RU"/>
        </w:rPr>
        <w:drawing>
          <wp:inline distT="0" distB="0" distL="0" distR="0" wp14:anchorId="6BCE7846" wp14:editId="6AE9091E">
            <wp:extent cx="1900555" cy="516890"/>
            <wp:effectExtent l="0" t="0" r="4445" b="0"/>
            <wp:docPr id="1" name="Рисунок 1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lastRenderedPageBreak/>
        <w:br/>
        <w:t>Rпред - 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периоде, %;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Qиспл - количество устраненных нарушений в отчетном периоде по вынесенным предписаниям, штук;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Qоб - общее количество вынесенных предписаний об устранении в отчетном периоде нарушений состояния поднадзорной техники, штук.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6 «Доля поднадзорной техники, представленной на техосмотр, от общего количества поднадзорной техники, состоящей на учете» определяется следующим образом:</w:t>
      </w:r>
    </w:p>
    <w:p w:rsidR="00182F40" w:rsidRPr="00182F40" w:rsidRDefault="00182F40" w:rsidP="00182F40">
      <w:pPr>
        <w:spacing w:after="200" w:line="315" w:lineRule="atLeast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noProof/>
          <w:spacing w:val="2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90FAF20" wp14:editId="39BE0F67">
            <wp:simplePos x="0" y="0"/>
            <wp:positionH relativeFrom="column">
              <wp:posOffset>2210462</wp:posOffset>
            </wp:positionH>
            <wp:positionV relativeFrom="paragraph">
              <wp:posOffset>63610</wp:posOffset>
            </wp:positionV>
            <wp:extent cx="1733550" cy="532765"/>
            <wp:effectExtent l="0" t="0" r="0" b="635"/>
            <wp:wrapSquare wrapText="bothSides"/>
            <wp:docPr id="4" name="Рисунок 4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 w:type="textWrapping" w:clear="all"/>
        <w:t>Rто - доля поднадзорной техники, представленной на техосмотр, от общего количества поднадзорной техники, состоящей на учете, %;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Qрег - количество машин, состоящих на регистрационном учете, единиц;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Qто - количество техники, представленной на технический осмотр, единиц.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7 «Доля поднадзорной техники, проверенной в процессе эксплуатации» определяется следующим образом:</w:t>
      </w:r>
    </w:p>
    <w:p w:rsidR="00182F40" w:rsidRPr="00182F40" w:rsidRDefault="00182F40" w:rsidP="00182F40">
      <w:pPr>
        <w:spacing w:after="200" w:line="315" w:lineRule="atLeast"/>
        <w:jc w:val="center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noProof/>
          <w:spacing w:val="2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B61C5C6" wp14:editId="00ED113A">
            <wp:simplePos x="0" y="0"/>
            <wp:positionH relativeFrom="column">
              <wp:posOffset>1964055</wp:posOffset>
            </wp:positionH>
            <wp:positionV relativeFrom="paragraph">
              <wp:posOffset>0</wp:posOffset>
            </wp:positionV>
            <wp:extent cx="1900555" cy="564515"/>
            <wp:effectExtent l="0" t="0" r="4445" b="6985"/>
            <wp:wrapSquare wrapText="bothSides"/>
            <wp:docPr id="3" name="Рисунок 3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 w:type="textWrapping" w:clear="all"/>
        <w:t>Rпэ - доля поднадзорной техники, проверенной в процессе эксплуатации,%;</w:t>
      </w:r>
    </w:p>
    <w:p w:rsidR="00182F40" w:rsidRPr="00182F40" w:rsidRDefault="00182F40" w:rsidP="00182F40">
      <w:pPr>
        <w:spacing w:after="200" w:line="315" w:lineRule="atLeast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Qпровер - количество машин, проверенных в процессе эксплуатации, единиц;</w:t>
      </w:r>
    </w:p>
    <w:p w:rsidR="00182F40" w:rsidRPr="00182F40" w:rsidRDefault="00182F40" w:rsidP="00182F40">
      <w:pPr>
        <w:spacing w:after="200" w:line="315" w:lineRule="atLeast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Qрег - количество машин, состоящих на регистрационном учете, единиц.</w:t>
      </w: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/>
      </w:r>
    </w:p>
    <w:p w:rsidR="00182F40" w:rsidRPr="00182F40" w:rsidRDefault="00182F40" w:rsidP="00182F40">
      <w:pPr>
        <w:spacing w:after="200" w:line="315" w:lineRule="atLeast"/>
        <w:ind w:firstLine="709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8 «Доля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среды» определяется следующим образом:</w:t>
      </w:r>
    </w:p>
    <w:p w:rsidR="00182F40" w:rsidRPr="00182F40" w:rsidRDefault="00182F40" w:rsidP="00182F40">
      <w:pPr>
        <w:spacing w:after="200" w:line="315" w:lineRule="atLeast"/>
        <w:jc w:val="center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noProof/>
          <w:spacing w:val="2"/>
          <w:sz w:val="28"/>
          <w:szCs w:val="28"/>
          <w:lang w:eastAsia="ru-RU"/>
        </w:rPr>
        <w:drawing>
          <wp:inline distT="0" distB="0" distL="0" distR="0" wp14:anchorId="21BA9ECF" wp14:editId="0F6B42A5">
            <wp:extent cx="1964055" cy="564515"/>
            <wp:effectExtent l="0" t="0" r="0" b="6985"/>
            <wp:docPr id="2" name="Рисунок 2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/>
        <w:t xml:space="preserve">Rнар - доля поднадзорных машин, у которых в результате проверок </w:t>
      </w: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lastRenderedPageBreak/>
        <w:t>выявлены неисправности, нарушающие требования дорожного движения, техники безопасности и охраны окружающей среды, %;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Qнар - количество машин, проверенных в процессе эксплуатации, у которых были выявлены неисправности, нарушающие требования дорожного движения, техники безопасности и охраны окружающей среды, единиц;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Qпровер - количество машин, проверенных в процессе эксплуатации, единиц.</w:t>
      </w: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/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Источником информации о значениях индикаторов с № 5 по № 8 является официальный сайт инспекции гостехнадзора Брянской области (igtn.debryansk.ru/itogi.html).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9 «Доля автотранспортных предприятий, осуществляющих пассажирские перевозки в пригородном сообщении, оснащённых бортовой навигационной системой «ГЛОНАСС» определяется по формуле:</w:t>
      </w:r>
    </w:p>
    <w:p w:rsidR="00182F40" w:rsidRPr="00182F40" w:rsidRDefault="00182F40" w:rsidP="00182F40">
      <w:pPr>
        <w:spacing w:after="200" w:line="315" w:lineRule="atLeast"/>
        <w:ind w:firstLine="709"/>
        <w:jc w:val="center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noProof/>
          <w:spacing w:val="2"/>
          <w:sz w:val="28"/>
          <w:szCs w:val="28"/>
          <w:lang w:eastAsia="ru-RU"/>
        </w:rPr>
        <w:drawing>
          <wp:inline distT="0" distB="0" distL="0" distR="0" wp14:anchorId="20E871F2" wp14:editId="10682360">
            <wp:extent cx="1828800" cy="469265"/>
            <wp:effectExtent l="0" t="0" r="0" b="6985"/>
            <wp:docPr id="5" name="Рисунок 5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/>
        <w:t>Дк – доля автотранспортных предприятий, осуществляющих пассажирские перевозки в пригородном сообщении, оснащённых бортовой навигационной системой «ГЛОНАСС», %;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Кисп – количество автотранспортных предприятий региона, осуществляющих пассажирские перевозки в пригородном сообщении, оснащённых бортовой навигационной системой «ГЛОНАСС», единиц;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К – общее количество автотранспортных предприятий региона.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Расчетные данные для показателей (индикаторов) государственной программы публикуются на официальном сайте департамента промышленности, транспорта и связи Брянской области (dpts.bryanskprom.ru).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10 определяется как количество автотранспортных предприятий со 100-процентным участием Брянской области в уставном капитале, получающих финансовую поддержку в виде субсидий на восстановление платежеспособности (санацию) в отчетном году. Источником информации для определения значения индикатора являются данные мониторинга департамента промышленности, транспорта и связи Брянской области.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Значение индикатора № 11 «Обеспечение стабильности перевозок пассажиров железнодорожным транспортом» определяется на основании </w:t>
      </w: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lastRenderedPageBreak/>
        <w:t>отчетности предприятий, осуществляющих пассажирские перевозки железнодорожным транспортом.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12 «Обновление автомобильного транспорта общего пользования автотранспортных предприятий области» определяется по формуле:</w:t>
      </w:r>
    </w:p>
    <w:p w:rsidR="00182F40" w:rsidRPr="00182F40" w:rsidRDefault="00182F40" w:rsidP="00182F40">
      <w:pPr>
        <w:spacing w:after="200" w:line="315" w:lineRule="atLeast"/>
        <w:ind w:firstLine="709"/>
        <w:jc w:val="center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noProof/>
          <w:spacing w:val="2"/>
          <w:sz w:val="28"/>
          <w:szCs w:val="28"/>
          <w:lang w:eastAsia="ru-RU"/>
        </w:rPr>
        <w:drawing>
          <wp:inline distT="0" distB="0" distL="0" distR="0" wp14:anchorId="0621DC87" wp14:editId="5C15DD2D">
            <wp:extent cx="2059305" cy="548640"/>
            <wp:effectExtent l="0" t="0" r="0" b="3810"/>
            <wp:docPr id="6" name="Рисунок 6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br/>
        <w:t>ОП - обновление автомобильного транспорта общего пользования автотранспортных предприятий области, %;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КТпоступ - количество автомобильного транспорта общего пользования, поступивших в отчетном году для автотранспортных предприятий области, единиц;</w:t>
      </w:r>
    </w:p>
    <w:p w:rsidR="00182F40" w:rsidRPr="00182F40" w:rsidRDefault="00182F40" w:rsidP="00182F40">
      <w:pPr>
        <w:spacing w:after="200" w:line="315" w:lineRule="atLeast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КТк - количество автомобильного транспорта общего пользования автотранспортных предприятий области на конец отчетного года, единиц.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13 определяется по результатам выполнения мероприятий в отчетном году.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14 определяются на основе данных государственного статистического наблюдения (раздел II "Производство товаров и услуг" доклада "Социально-экономическое положение Брянской области") территориального органа Федеральной службы государственной статистики по Брянской области.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Значения индикаторов № 15, 16, 17, 18, 19, 20 определяются на основе отчетности промышленных предприятий по выполнению среднесрочного плана мероприятий по развитию промышленности, утвержденного постановлением Правительства Брянской области от 1 августа 2016 года N 413-п.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Значение индикатора № 21 определяются на основании отчетности авиапредприятий, осуществляющих пассажирские авиационные перевозки.</w:t>
      </w:r>
    </w:p>
    <w:p w:rsidR="00182F40" w:rsidRPr="00182F40" w:rsidRDefault="00182F40" w:rsidP="00182F40">
      <w:pPr>
        <w:spacing w:after="200" w:line="315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182F4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Методика расчета значений (индикаторов) содержит ссылки на открытые источники информации, содержащие исходные данные для расчета значений показателей (индикаторов) (за исключением исходных данных, составляющих государственную тайну).</w:t>
      </w:r>
    </w:p>
    <w:p w:rsidR="00AB5930" w:rsidRDefault="00AB5930"/>
    <w:sectPr w:rsidR="00AB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5C"/>
    <w:rsid w:val="00182F40"/>
    <w:rsid w:val="0032075C"/>
    <w:rsid w:val="008E30EC"/>
    <w:rsid w:val="00A44017"/>
    <w:rsid w:val="00AB5930"/>
    <w:rsid w:val="00CA685C"/>
    <w:rsid w:val="00DA0324"/>
    <w:rsid w:val="00E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3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5749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Макарченко М. В.</cp:lastModifiedBy>
  <cp:revision>2</cp:revision>
  <dcterms:created xsi:type="dcterms:W3CDTF">2020-10-28T15:11:00Z</dcterms:created>
  <dcterms:modified xsi:type="dcterms:W3CDTF">2020-10-28T15:11:00Z</dcterms:modified>
</cp:coreProperties>
</file>